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010FF3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010FF3" w:rsidP="00010F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="00844A32" w:rsidRPr="00844A32">
        <w:rPr>
          <w:rFonts w:ascii="黑体" w:eastAsia="黑体" w:hAnsi="黑体" w:hint="eastAsia"/>
          <w:sz w:val="32"/>
          <w:szCs w:val="32"/>
        </w:rPr>
        <w:t>同安区城西路30</w:t>
      </w:r>
      <w:r w:rsidR="00DA356D">
        <w:rPr>
          <w:rFonts w:ascii="黑体" w:eastAsia="黑体" w:hAnsi="黑体" w:hint="eastAsia"/>
          <w:sz w:val="32"/>
          <w:szCs w:val="32"/>
        </w:rPr>
        <w:t>号、</w:t>
      </w:r>
      <w:r w:rsidR="00844A32" w:rsidRPr="00844A32">
        <w:rPr>
          <w:rFonts w:ascii="黑体" w:eastAsia="黑体" w:hAnsi="黑体" w:hint="eastAsia"/>
          <w:sz w:val="32"/>
          <w:szCs w:val="32"/>
        </w:rPr>
        <w:t>城西二里134号102室</w:t>
      </w:r>
      <w:r w:rsidR="00DB4AEF"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010FF3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844A32">
        <w:rPr>
          <w:rFonts w:ascii="仿宋" w:eastAsia="仿宋" w:hAnsi="仿宋" w:cs="Times New Roman" w:hint="eastAsia"/>
          <w:sz w:val="30"/>
          <w:szCs w:val="30"/>
        </w:rPr>
        <w:t>同安区城西路30</w:t>
      </w:r>
      <w:r w:rsidR="00DA356D">
        <w:rPr>
          <w:rFonts w:ascii="仿宋" w:eastAsia="仿宋" w:hAnsi="仿宋" w:cs="Times New Roman" w:hint="eastAsia"/>
          <w:sz w:val="30"/>
          <w:szCs w:val="30"/>
        </w:rPr>
        <w:t>号、</w:t>
      </w:r>
      <w:r w:rsidR="00844A32">
        <w:rPr>
          <w:rFonts w:ascii="仿宋" w:eastAsia="仿宋" w:hAnsi="仿宋" w:cs="Times New Roman" w:hint="eastAsia"/>
          <w:sz w:val="30"/>
          <w:szCs w:val="30"/>
        </w:rPr>
        <w:t>城西二里134号102室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844A32" w:rsidRDefault="00DB4AEF" w:rsidP="00844A32">
      <w:pPr>
        <w:rPr>
          <w:rFonts w:ascii="黑体" w:eastAsia="黑体" w:hAnsi="黑体" w:cs="Times New Roman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 xml:space="preserve">   </w:t>
      </w:r>
      <w:r w:rsidR="00844A32">
        <w:rPr>
          <w:rFonts w:ascii="黑体" w:eastAsia="黑体" w:hAnsi="黑体" w:cs="Times New Roman" w:hint="eastAsia"/>
          <w:sz w:val="30"/>
          <w:szCs w:val="30"/>
        </w:rPr>
        <w:t>一、拟出租房产基本情况</w:t>
      </w:r>
    </w:p>
    <w:p w:rsidR="00844A32" w:rsidRDefault="00844A32" w:rsidP="00844A32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同安区城西路30号权证号为闽（2018）厦门市不动产权第5009354号，权利性质为出让/商</w:t>
      </w:r>
      <w:bookmarkStart w:id="0" w:name="_GoBack"/>
      <w:bookmarkEnd w:id="0"/>
      <w:r>
        <w:rPr>
          <w:rFonts w:ascii="仿宋" w:eastAsia="仿宋" w:hAnsi="仿宋" w:cs="Times New Roman" w:hint="eastAsia"/>
          <w:sz w:val="30"/>
          <w:szCs w:val="30"/>
        </w:rPr>
        <w:t>品房，用途为商业服务业/商业，建筑面积156.08平方米。同安区城西二里134号101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室房产权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证号为闽（2018）厦门市不动产权第5009352号，权利性质为出让/商品房，用途为住宅用地/住宅，建筑面积78.22平方米。</w:t>
      </w:r>
    </w:p>
    <w:p w:rsidR="00844A32" w:rsidRDefault="00844A32" w:rsidP="00844A32">
      <w:pPr>
        <w:ind w:firstLineChars="150" w:firstLine="450"/>
        <w:rPr>
          <w:rFonts w:ascii="黑体" w:eastAsia="黑体" w:hAnsi="黑体" w:cs="Times New Roman"/>
          <w:color w:val="000000"/>
          <w:kern w:val="24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kern w:val="24"/>
          <w:sz w:val="30"/>
          <w:szCs w:val="30"/>
        </w:rPr>
        <w:t>二、招租方案</w:t>
      </w:r>
    </w:p>
    <w:p w:rsidR="00844A32" w:rsidRPr="00844A32" w:rsidRDefault="00844A32" w:rsidP="00844A32">
      <w:pPr>
        <w:ind w:firstLineChars="100" w:firstLine="300"/>
        <w:rPr>
          <w:rFonts w:ascii="黑体" w:eastAsia="黑体" w:hAnsi="黑体" w:cs="Times New Roman"/>
          <w:color w:val="000000"/>
          <w:kern w:val="24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（一）出租方案</w:t>
      </w:r>
    </w:p>
    <w:tbl>
      <w:tblPr>
        <w:tblW w:w="8580" w:type="dxa"/>
        <w:tblInd w:w="93" w:type="dxa"/>
        <w:tblLook w:val="0000" w:firstRow="0" w:lastRow="0" w:firstColumn="0" w:lastColumn="0" w:noHBand="0" w:noVBand="0"/>
      </w:tblPr>
      <w:tblGrid>
        <w:gridCol w:w="1760"/>
        <w:gridCol w:w="3500"/>
        <w:gridCol w:w="3320"/>
      </w:tblGrid>
      <w:tr w:rsidR="00844A32" w:rsidTr="00197824">
        <w:trPr>
          <w:trHeight w:val="43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房产坐落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同安区城西路30号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同安区城西二里134号102室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156.08平方米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78.22平方米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出租用途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合法商业用途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出租期限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 w:rsidR="00844A32" w:rsidTr="00197824">
        <w:trPr>
          <w:trHeight w:val="7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租金（含税）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80元/平方米，月租金合计12，486元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860元/月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租金递增幅度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不递增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不递增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租金缴交方式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按季支付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按季支付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保证金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40000元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免租期条款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承租人条件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具有独立民事行为能力的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机关、团体、企事业单位及个人</w:t>
            </w:r>
          </w:p>
        </w:tc>
      </w:tr>
      <w:tr w:rsidR="00844A32" w:rsidTr="00197824">
        <w:trPr>
          <w:trHeight w:val="75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其他说明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4A32" w:rsidRDefault="00844A32" w:rsidP="001978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1.两处房产不单独出租。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2.同等条件下，原承租人具有优先承租权</w:t>
            </w:r>
          </w:p>
        </w:tc>
      </w:tr>
    </w:tbl>
    <w:p w:rsidR="00161222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844A32">
        <w:rPr>
          <w:rFonts w:ascii="仿宋" w:eastAsia="仿宋" w:hAnsi="仿宋" w:hint="eastAsia"/>
          <w:sz w:val="30"/>
          <w:szCs w:val="30"/>
        </w:rPr>
        <w:t>二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844A32">
        <w:rPr>
          <w:rFonts w:ascii="仿宋" w:eastAsia="仿宋" w:hAnsi="仿宋" w:cs="宋体" w:hint="eastAsia"/>
          <w:bCs/>
          <w:kern w:val="0"/>
          <w:sz w:val="30"/>
          <w:szCs w:val="30"/>
        </w:rPr>
        <w:t>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房</w:t>
      </w:r>
      <w:r w:rsidR="00165933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租赁期间，</w:t>
      </w:r>
      <w:r w:rsidR="0003526C" w:rsidRPr="003B74CE">
        <w:rPr>
          <w:rFonts w:ascii="仿宋" w:eastAsia="仿宋" w:hAnsi="仿宋" w:hint="eastAsia"/>
          <w:sz w:val="30"/>
          <w:szCs w:val="30"/>
        </w:rPr>
        <w:t>租赁</w:t>
      </w:r>
      <w:r w:rsidRPr="003B74CE">
        <w:rPr>
          <w:rFonts w:ascii="仿宋" w:eastAsia="仿宋" w:hAnsi="仿宋" w:hint="eastAsia"/>
          <w:sz w:val="30"/>
          <w:szCs w:val="30"/>
        </w:rPr>
        <w:t>房</w:t>
      </w:r>
      <w:r w:rsidR="00165933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产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021441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40,000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元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</w:t>
      </w:r>
      <w:r w:rsidRPr="003B74CE">
        <w:rPr>
          <w:rFonts w:ascii="仿宋" w:eastAsia="仿宋" w:hAnsi="仿宋" w:cs="宋体" w:hint="eastAsia"/>
          <w:sz w:val="30"/>
          <w:szCs w:val="30"/>
        </w:rPr>
        <w:lastRenderedPageBreak/>
        <w:t>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四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</w:t>
      </w:r>
      <w:r w:rsidR="00021441">
        <w:rPr>
          <w:rFonts w:ascii="仿宋_GB2312" w:eastAsia="仿宋_GB2312" w:hAnsi="仿宋" w:cs="Times New Roman" w:hint="eastAsia"/>
          <w:sz w:val="30"/>
          <w:szCs w:val="30"/>
        </w:rPr>
        <w:t>每次加价幅度为月租金增加100元，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，如遇特殊情况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无法在约定时间内签订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需提前告知</w:t>
      </w:r>
      <w:r w:rsidR="008F55B8">
        <w:rPr>
          <w:rFonts w:ascii="仿宋" w:eastAsia="仿宋" w:hAnsi="仿宋" w:cs="宋体" w:hint="eastAsia"/>
          <w:bCs/>
          <w:kern w:val="0"/>
          <w:sz w:val="30"/>
          <w:szCs w:val="30"/>
        </w:rPr>
        <w:t>我行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="00EA484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具体时间另行通知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23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11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40,000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元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银行账号：</w:t>
      </w:r>
      <w:r w:rsidR="00DA356D" w:rsidRPr="00DA356D">
        <w:rPr>
          <w:rFonts w:ascii="仿宋" w:eastAsia="仿宋" w:hAnsi="仿宋"/>
          <w:color w:val="000000"/>
          <w:sz w:val="30"/>
          <w:szCs w:val="30"/>
        </w:rPr>
        <w:t>9020102000126211300008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7F636F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房产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</w:t>
      </w:r>
      <w:r w:rsidRPr="003B74CE">
        <w:rPr>
          <w:rFonts w:ascii="仿宋" w:eastAsia="仿宋" w:hAnsi="仿宋" w:hint="eastAsia"/>
          <w:sz w:val="30"/>
          <w:szCs w:val="30"/>
        </w:rPr>
        <w:lastRenderedPageBreak/>
        <w:t>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7B7273" w:rsidRPr="003B74CE" w:rsidRDefault="007B7273" w:rsidP="005255BF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326EAD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联系电话：567</w:t>
      </w:r>
      <w:r w:rsidR="00326EAD">
        <w:rPr>
          <w:rFonts w:ascii="仿宋" w:eastAsia="仿宋" w:hAnsi="仿宋" w:cs="Times New Roman" w:hint="eastAsia"/>
          <w:sz w:val="30"/>
          <w:szCs w:val="30"/>
        </w:rPr>
        <w:t>0869/18695637386</w:t>
      </w:r>
    </w:p>
    <w:p w:rsidR="00DB4AEF" w:rsidRPr="003B74CE" w:rsidRDefault="00DB4AEF" w:rsidP="005255BF">
      <w:pPr>
        <w:widowControl/>
        <w:shd w:val="clear" w:color="auto" w:fill="FFFFFF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C65FCD" w:rsidRDefault="00524F0E" w:rsidP="00E37610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0214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0214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0214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23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C65FCD" w:rsidRDefault="00C65FCD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F636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房屋租赁申请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厦门农村商业银行股份有限公司: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根据贵行招租公告，本人(本单位)申请租赁贵行位于厦门市                </w:t>
      </w:r>
      <w:r w:rsidR="00DA35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区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房产，本人(本单位)已充分了解并认可租赁房屋面积、用途、内部构造及产权属性等全部情况，并同意以贵行招租方案及房屋现状承租。如本人（本单位）取得该房产租赁权，将按招租方案要求与贵行签订房屋租赁合同，如未按招租方案要求签署房屋租赁合同，本人（本单位）同意贵行不予退还招租保证金</w:t>
      </w:r>
      <w:r w:rsidR="00DA35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40,000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特此申请。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申请人：</w:t>
      </w:r>
    </w:p>
    <w:p w:rsidR="00D70961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  年  月  日</w:t>
      </w: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165933">
      <w:pPr>
        <w:rPr>
          <w:rFonts w:ascii="黑体" w:eastAsia="黑体" w:hAnsi="黑体"/>
          <w:sz w:val="30"/>
          <w:szCs w:val="30"/>
        </w:rPr>
      </w:pPr>
    </w:p>
    <w:sectPr w:rsidR="00D70961" w:rsidSect="00BC7E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1C5" w:rsidRDefault="00C301C5" w:rsidP="0093325F">
      <w:r>
        <w:separator/>
      </w:r>
    </w:p>
  </w:endnote>
  <w:endnote w:type="continuationSeparator" w:id="0">
    <w:p w:rsidR="00C301C5" w:rsidRDefault="00C301C5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9FD" w:rsidRPr="007659FD">
          <w:rPr>
            <w:noProof/>
            <w:lang w:val="zh-CN"/>
          </w:rPr>
          <w:t>2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1C5" w:rsidRDefault="00C301C5" w:rsidP="0093325F">
      <w:r>
        <w:separator/>
      </w:r>
    </w:p>
  </w:footnote>
  <w:footnote w:type="continuationSeparator" w:id="0">
    <w:p w:rsidR="00C301C5" w:rsidRDefault="00C301C5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0FF3"/>
    <w:rsid w:val="0001376D"/>
    <w:rsid w:val="00021441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D7917"/>
    <w:rsid w:val="000F1B67"/>
    <w:rsid w:val="000F3754"/>
    <w:rsid w:val="00104E76"/>
    <w:rsid w:val="00114671"/>
    <w:rsid w:val="00140C42"/>
    <w:rsid w:val="0014658B"/>
    <w:rsid w:val="00150FA9"/>
    <w:rsid w:val="00152121"/>
    <w:rsid w:val="001523CB"/>
    <w:rsid w:val="00161222"/>
    <w:rsid w:val="00165045"/>
    <w:rsid w:val="00165933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16F31"/>
    <w:rsid w:val="00224335"/>
    <w:rsid w:val="002257A8"/>
    <w:rsid w:val="002328FF"/>
    <w:rsid w:val="00246B83"/>
    <w:rsid w:val="00250236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05153"/>
    <w:rsid w:val="003206F9"/>
    <w:rsid w:val="00326094"/>
    <w:rsid w:val="00326EAD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D7DBD"/>
    <w:rsid w:val="003E24FA"/>
    <w:rsid w:val="004019B1"/>
    <w:rsid w:val="00410AE2"/>
    <w:rsid w:val="0044025C"/>
    <w:rsid w:val="00452D53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722AB"/>
    <w:rsid w:val="00685A3B"/>
    <w:rsid w:val="00690988"/>
    <w:rsid w:val="0069201E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32C62"/>
    <w:rsid w:val="007374C3"/>
    <w:rsid w:val="007533EF"/>
    <w:rsid w:val="00762417"/>
    <w:rsid w:val="007659FD"/>
    <w:rsid w:val="00775302"/>
    <w:rsid w:val="007912D4"/>
    <w:rsid w:val="00795C7F"/>
    <w:rsid w:val="007B1EAA"/>
    <w:rsid w:val="007B7273"/>
    <w:rsid w:val="007D1AE6"/>
    <w:rsid w:val="007D2F48"/>
    <w:rsid w:val="007D68A7"/>
    <w:rsid w:val="007E14CC"/>
    <w:rsid w:val="007F0737"/>
    <w:rsid w:val="007F1D2A"/>
    <w:rsid w:val="007F636F"/>
    <w:rsid w:val="00801F71"/>
    <w:rsid w:val="00805395"/>
    <w:rsid w:val="00814AEB"/>
    <w:rsid w:val="008166C1"/>
    <w:rsid w:val="0081688D"/>
    <w:rsid w:val="0084207B"/>
    <w:rsid w:val="00843FD8"/>
    <w:rsid w:val="00844A32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8F55B8"/>
    <w:rsid w:val="00910D96"/>
    <w:rsid w:val="00912415"/>
    <w:rsid w:val="009238F8"/>
    <w:rsid w:val="00926EF4"/>
    <w:rsid w:val="00932581"/>
    <w:rsid w:val="0093325F"/>
    <w:rsid w:val="009422DF"/>
    <w:rsid w:val="00946F4F"/>
    <w:rsid w:val="00950B8C"/>
    <w:rsid w:val="009616AB"/>
    <w:rsid w:val="00966FB4"/>
    <w:rsid w:val="00967C32"/>
    <w:rsid w:val="00976C46"/>
    <w:rsid w:val="00977789"/>
    <w:rsid w:val="00983575"/>
    <w:rsid w:val="00991ACD"/>
    <w:rsid w:val="00996FBD"/>
    <w:rsid w:val="00997A56"/>
    <w:rsid w:val="009B1485"/>
    <w:rsid w:val="009B7D39"/>
    <w:rsid w:val="009C0030"/>
    <w:rsid w:val="009C2EBB"/>
    <w:rsid w:val="009C551A"/>
    <w:rsid w:val="009C759A"/>
    <w:rsid w:val="009D5C08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923AF"/>
    <w:rsid w:val="00AA267B"/>
    <w:rsid w:val="00AA7B73"/>
    <w:rsid w:val="00AC33AA"/>
    <w:rsid w:val="00AC797E"/>
    <w:rsid w:val="00AD1296"/>
    <w:rsid w:val="00AD5E94"/>
    <w:rsid w:val="00AD77A7"/>
    <w:rsid w:val="00AE1536"/>
    <w:rsid w:val="00B03D72"/>
    <w:rsid w:val="00B16DE1"/>
    <w:rsid w:val="00B2769F"/>
    <w:rsid w:val="00B341FD"/>
    <w:rsid w:val="00B36AE3"/>
    <w:rsid w:val="00B451B2"/>
    <w:rsid w:val="00B51B39"/>
    <w:rsid w:val="00B54140"/>
    <w:rsid w:val="00B556A2"/>
    <w:rsid w:val="00B70CAB"/>
    <w:rsid w:val="00B73E0F"/>
    <w:rsid w:val="00B74EC7"/>
    <w:rsid w:val="00B92F85"/>
    <w:rsid w:val="00BA18EB"/>
    <w:rsid w:val="00BB7BD6"/>
    <w:rsid w:val="00BC76F5"/>
    <w:rsid w:val="00BC7EAE"/>
    <w:rsid w:val="00BE7DAC"/>
    <w:rsid w:val="00BF1A1F"/>
    <w:rsid w:val="00BF7001"/>
    <w:rsid w:val="00C015C4"/>
    <w:rsid w:val="00C17176"/>
    <w:rsid w:val="00C236AA"/>
    <w:rsid w:val="00C301C5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C3B77"/>
    <w:rsid w:val="00CE0159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0961"/>
    <w:rsid w:val="00D738BC"/>
    <w:rsid w:val="00D86A8E"/>
    <w:rsid w:val="00D9628A"/>
    <w:rsid w:val="00DA356D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37610"/>
    <w:rsid w:val="00E96C1B"/>
    <w:rsid w:val="00EA4846"/>
    <w:rsid w:val="00EA4EE3"/>
    <w:rsid w:val="00EB7682"/>
    <w:rsid w:val="00EC3555"/>
    <w:rsid w:val="00EC440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7073-E0E9-4027-A21F-24DF5A99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322</Words>
  <Characters>1841</Characters>
  <Application>Microsoft Office Word</Application>
  <DocSecurity>0</DocSecurity>
  <Lines>15</Lines>
  <Paragraphs>4</Paragraphs>
  <ScaleCrop>false</ScaleCrop>
  <Company>xmrcb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3</cp:revision>
  <cp:lastPrinted>2024-01-19T01:27:00Z</cp:lastPrinted>
  <dcterms:created xsi:type="dcterms:W3CDTF">2025-01-23T03:35:00Z</dcterms:created>
  <dcterms:modified xsi:type="dcterms:W3CDTF">2025-01-23T07:36:00Z</dcterms:modified>
</cp:coreProperties>
</file>